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48085" w14:textId="77777777" w:rsidR="00AA2820" w:rsidRDefault="00221984" w:rsidP="00221984">
      <w:pPr>
        <w:jc w:val="center"/>
        <w:rPr>
          <w:b/>
        </w:rPr>
      </w:pPr>
      <w:r>
        <w:rPr>
          <w:b/>
        </w:rPr>
        <w:t>Resource Conservation Advisory Council (RCAC)</w:t>
      </w:r>
    </w:p>
    <w:p w14:paraId="5F435B1C" w14:textId="77777777" w:rsidR="00221984" w:rsidRDefault="00221984" w:rsidP="00221984">
      <w:pPr>
        <w:jc w:val="center"/>
        <w:rPr>
          <w:b/>
        </w:rPr>
      </w:pPr>
      <w:r>
        <w:rPr>
          <w:b/>
        </w:rPr>
        <w:t>February 12, 2020</w:t>
      </w:r>
    </w:p>
    <w:p w14:paraId="360B377C" w14:textId="77777777" w:rsidR="00221984" w:rsidRDefault="00221984" w:rsidP="00221984">
      <w:pPr>
        <w:jc w:val="center"/>
        <w:rPr>
          <w:b/>
        </w:rPr>
      </w:pPr>
      <w:r>
        <w:rPr>
          <w:b/>
        </w:rPr>
        <w:t>Conference Call</w:t>
      </w:r>
    </w:p>
    <w:p w14:paraId="675C629E" w14:textId="77777777" w:rsidR="00221984" w:rsidRDefault="00221984" w:rsidP="00221984">
      <w:pPr>
        <w:jc w:val="center"/>
        <w:rPr>
          <w:b/>
        </w:rPr>
      </w:pPr>
      <w:r>
        <w:rPr>
          <w:b/>
        </w:rPr>
        <w:t>Minutes</w:t>
      </w:r>
    </w:p>
    <w:p w14:paraId="5E4027AE" w14:textId="77777777" w:rsidR="00221984" w:rsidRDefault="00221984" w:rsidP="00221984">
      <w:pPr>
        <w:jc w:val="center"/>
        <w:rPr>
          <w:b/>
        </w:rPr>
      </w:pPr>
    </w:p>
    <w:p w14:paraId="5E3F27B5" w14:textId="77777777" w:rsidR="00221984" w:rsidRPr="00583D32" w:rsidRDefault="00221984" w:rsidP="00221984">
      <w:r>
        <w:rPr>
          <w:b/>
        </w:rPr>
        <w:t>RCAC Council Present:</w:t>
      </w:r>
      <w:r w:rsidR="00583D32">
        <w:rPr>
          <w:b/>
        </w:rPr>
        <w:t xml:space="preserve"> </w:t>
      </w:r>
      <w:r w:rsidR="00583D32">
        <w:t>Doug Bonsell, Bob Breipohl, Judi Knapp, Ramsey Offerdahl, &amp; Gayla Wortman.</w:t>
      </w:r>
    </w:p>
    <w:p w14:paraId="37E3415E" w14:textId="77777777" w:rsidR="00221984" w:rsidRPr="00583D32" w:rsidRDefault="00221984" w:rsidP="00221984">
      <w:r>
        <w:rPr>
          <w:b/>
        </w:rPr>
        <w:t>Staff Present</w:t>
      </w:r>
      <w:r w:rsidRPr="00583D32">
        <w:t>:</w:t>
      </w:r>
      <w:r w:rsidR="00583D32" w:rsidRPr="00583D32">
        <w:t xml:space="preserve">  Lind</w:t>
      </w:r>
      <w:r w:rsidR="00583D32">
        <w:t>a Brander, Mary Hendrix, &amp; Laurie Zeller.</w:t>
      </w:r>
    </w:p>
    <w:p w14:paraId="244F7B3B" w14:textId="77777777" w:rsidR="00221984" w:rsidRPr="00966234" w:rsidRDefault="00221984" w:rsidP="00221984">
      <w:r>
        <w:rPr>
          <w:b/>
        </w:rPr>
        <w:t>Callers:</w:t>
      </w:r>
      <w:r w:rsidR="00583D32">
        <w:rPr>
          <w:b/>
        </w:rPr>
        <w:t xml:space="preserve">  </w:t>
      </w:r>
      <w:r w:rsidR="00966234">
        <w:t>Jeff Janke, Deer Lodge Valley C</w:t>
      </w:r>
      <w:r w:rsidR="00050437">
        <w:t>onservation District (CD), Nita</w:t>
      </w:r>
      <w:r w:rsidR="00966234">
        <w:t xml:space="preserve"> Bron</w:t>
      </w:r>
      <w:r w:rsidR="00050437">
        <w:t>ec</w:t>
      </w:r>
      <w:r w:rsidR="00966234">
        <w:t xml:space="preserve">, Fergus CD, Leon Hammond, Supply Canal Irrigation District, </w:t>
      </w:r>
      <w:r w:rsidR="00446FDB">
        <w:t>Joe Lockwood, Yellowstone County Weed District, Chery</w:t>
      </w:r>
      <w:r w:rsidR="007D7D08">
        <w:t xml:space="preserve">l Miller Upper Musselshell CD, </w:t>
      </w:r>
      <w:r w:rsidR="00446FDB">
        <w:t xml:space="preserve">Anna Morris, Fergus CD, Will McDowell, </w:t>
      </w:r>
      <w:r w:rsidR="00C14D43">
        <w:t>Clark Fork Coalition</w:t>
      </w:r>
      <w:r w:rsidR="00446FDB">
        <w:t>, Clint Peck, Yellowstone CD, &amp; Br</w:t>
      </w:r>
      <w:r w:rsidR="002E0CE9">
        <w:t>yan Vog</w:t>
      </w:r>
      <w:r w:rsidR="00446FDB">
        <w:t>t, Missoula CD</w:t>
      </w:r>
    </w:p>
    <w:p w14:paraId="1837563C" w14:textId="77777777" w:rsidR="00221984" w:rsidRDefault="00221984" w:rsidP="00221984">
      <w:pPr>
        <w:rPr>
          <w:b/>
        </w:rPr>
      </w:pPr>
    </w:p>
    <w:p w14:paraId="1DF4006F" w14:textId="77777777" w:rsidR="00221984" w:rsidRDefault="00221984" w:rsidP="00221984">
      <w:pPr>
        <w:rPr>
          <w:b/>
        </w:rPr>
      </w:pPr>
      <w:r>
        <w:rPr>
          <w:b/>
        </w:rPr>
        <w:t>Introductions</w:t>
      </w:r>
    </w:p>
    <w:p w14:paraId="34C1647D" w14:textId="77777777" w:rsidR="00221984" w:rsidRDefault="00221984" w:rsidP="00221984">
      <w:pPr>
        <w:rPr>
          <w:b/>
        </w:rPr>
      </w:pPr>
    </w:p>
    <w:p w14:paraId="7A38D1CB" w14:textId="77777777" w:rsidR="00221984" w:rsidRDefault="00221984" w:rsidP="00221984">
      <w:pPr>
        <w:rPr>
          <w:b/>
        </w:rPr>
      </w:pPr>
      <w:r>
        <w:rPr>
          <w:b/>
        </w:rPr>
        <w:t>August 29, 2020 Minutes</w:t>
      </w:r>
    </w:p>
    <w:p w14:paraId="70D55666" w14:textId="77777777" w:rsidR="00583D32" w:rsidRDefault="00583D32" w:rsidP="00221984">
      <w:pPr>
        <w:rPr>
          <w:b/>
        </w:rPr>
      </w:pPr>
    </w:p>
    <w:p w14:paraId="4360786C" w14:textId="77777777" w:rsidR="00583D32" w:rsidRPr="00583D32" w:rsidRDefault="00583D32" w:rsidP="00221984">
      <w:r>
        <w:t>The August 29, 2020 minutes were approved.</w:t>
      </w:r>
    </w:p>
    <w:p w14:paraId="66F89A54" w14:textId="77777777" w:rsidR="00221984" w:rsidRDefault="00221984" w:rsidP="00221984">
      <w:pPr>
        <w:rPr>
          <w:b/>
        </w:rPr>
      </w:pPr>
    </w:p>
    <w:p w14:paraId="6A457336" w14:textId="77777777" w:rsidR="00221984" w:rsidRDefault="00221984" w:rsidP="00221984">
      <w:pPr>
        <w:jc w:val="center"/>
        <w:rPr>
          <w:b/>
        </w:rPr>
      </w:pPr>
      <w:r>
        <w:rPr>
          <w:b/>
        </w:rPr>
        <w:t>223 Awards &amp; Ranking</w:t>
      </w:r>
    </w:p>
    <w:p w14:paraId="0561D1A3" w14:textId="77777777" w:rsidR="00221984" w:rsidRDefault="00221984" w:rsidP="00221984">
      <w:pPr>
        <w:jc w:val="center"/>
        <w:rPr>
          <w:b/>
        </w:rPr>
      </w:pPr>
    </w:p>
    <w:tbl>
      <w:tblPr>
        <w:tblW w:w="109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2750"/>
        <w:gridCol w:w="1273"/>
        <w:gridCol w:w="2427"/>
        <w:gridCol w:w="3225"/>
      </w:tblGrid>
      <w:tr w:rsidR="00221984" w:rsidRPr="00331FC9" w14:paraId="34424F92" w14:textId="77777777" w:rsidTr="00331FC9">
        <w:trPr>
          <w:trHeight w:val="548"/>
        </w:trPr>
        <w:tc>
          <w:tcPr>
            <w:tcW w:w="1295" w:type="dxa"/>
            <w:shd w:val="clear" w:color="auto" w:fill="auto"/>
            <w:noWrap/>
          </w:tcPr>
          <w:p w14:paraId="14B406BA" w14:textId="77777777" w:rsidR="00221984" w:rsidRPr="00331FC9" w:rsidRDefault="00221984" w:rsidP="003C3E51">
            <w:pPr>
              <w:rPr>
                <w:rFonts w:eastAsia="Times New Roman" w:cs="Times New Roman"/>
                <w:b/>
                <w:sz w:val="20"/>
                <w:szCs w:val="20"/>
              </w:rPr>
            </w:pPr>
            <w:r w:rsidRPr="00331FC9">
              <w:rPr>
                <w:rFonts w:eastAsia="Times New Roman" w:cs="Times New Roman"/>
                <w:b/>
                <w:sz w:val="20"/>
                <w:szCs w:val="20"/>
              </w:rPr>
              <w:t>CD</w:t>
            </w:r>
          </w:p>
        </w:tc>
        <w:tc>
          <w:tcPr>
            <w:tcW w:w="2750" w:type="dxa"/>
            <w:shd w:val="clear" w:color="auto" w:fill="auto"/>
          </w:tcPr>
          <w:p w14:paraId="5972BD00" w14:textId="77777777" w:rsidR="00221984" w:rsidRPr="00331FC9" w:rsidRDefault="00221984" w:rsidP="003C3E51">
            <w:pPr>
              <w:rPr>
                <w:rFonts w:eastAsia="Times New Roman" w:cs="Times New Roman"/>
                <w:b/>
                <w:sz w:val="20"/>
                <w:szCs w:val="20"/>
              </w:rPr>
            </w:pPr>
            <w:r w:rsidRPr="00331FC9">
              <w:rPr>
                <w:rFonts w:eastAsia="Times New Roman" w:cs="Times New Roman"/>
                <w:b/>
                <w:sz w:val="20"/>
                <w:szCs w:val="20"/>
              </w:rPr>
              <w:t>Project</w:t>
            </w:r>
          </w:p>
        </w:tc>
        <w:tc>
          <w:tcPr>
            <w:tcW w:w="1273" w:type="dxa"/>
            <w:shd w:val="clear" w:color="auto" w:fill="auto"/>
            <w:noWrap/>
          </w:tcPr>
          <w:p w14:paraId="21C98204" w14:textId="77777777" w:rsidR="00221984" w:rsidRPr="00331FC9" w:rsidRDefault="00221984" w:rsidP="003C3E51">
            <w:pPr>
              <w:rPr>
                <w:rFonts w:eastAsia="Times New Roman" w:cs="Times New Roman"/>
                <w:b/>
                <w:sz w:val="20"/>
                <w:szCs w:val="20"/>
              </w:rPr>
            </w:pPr>
            <w:r w:rsidRPr="00331FC9">
              <w:rPr>
                <w:rFonts w:eastAsia="Times New Roman" w:cs="Times New Roman"/>
                <w:b/>
                <w:sz w:val="20"/>
                <w:szCs w:val="20"/>
              </w:rPr>
              <w:t>Amount Requested</w:t>
            </w:r>
          </w:p>
        </w:tc>
        <w:tc>
          <w:tcPr>
            <w:tcW w:w="2427" w:type="dxa"/>
            <w:shd w:val="clear" w:color="auto" w:fill="auto"/>
            <w:noWrap/>
          </w:tcPr>
          <w:p w14:paraId="4A8DA533" w14:textId="77777777" w:rsidR="00221984" w:rsidRPr="00331FC9" w:rsidRDefault="00221984" w:rsidP="003C3E51">
            <w:pPr>
              <w:rPr>
                <w:rFonts w:eastAsia="Times New Roman" w:cs="Times New Roman"/>
                <w:b/>
                <w:sz w:val="20"/>
                <w:szCs w:val="20"/>
              </w:rPr>
            </w:pPr>
            <w:r w:rsidRPr="00331FC9">
              <w:rPr>
                <w:rFonts w:eastAsia="Times New Roman" w:cs="Times New Roman"/>
                <w:b/>
                <w:sz w:val="20"/>
                <w:szCs w:val="20"/>
              </w:rPr>
              <w:t>Amount Awarded</w:t>
            </w:r>
          </w:p>
        </w:tc>
        <w:tc>
          <w:tcPr>
            <w:tcW w:w="3225" w:type="dxa"/>
          </w:tcPr>
          <w:p w14:paraId="370775E3" w14:textId="77777777" w:rsidR="00221984" w:rsidRPr="00331FC9" w:rsidRDefault="00221984" w:rsidP="003C3E51">
            <w:pPr>
              <w:rPr>
                <w:rFonts w:eastAsia="Times New Roman" w:cs="Times New Roman"/>
                <w:b/>
                <w:sz w:val="20"/>
                <w:szCs w:val="20"/>
              </w:rPr>
            </w:pPr>
            <w:r w:rsidRPr="00331FC9">
              <w:rPr>
                <w:rFonts w:eastAsia="Times New Roman" w:cs="Times New Roman"/>
                <w:b/>
                <w:sz w:val="20"/>
                <w:szCs w:val="20"/>
              </w:rPr>
              <w:t>Comments</w:t>
            </w:r>
          </w:p>
        </w:tc>
      </w:tr>
      <w:tr w:rsidR="00221984" w:rsidRPr="00331FC9" w14:paraId="6B8A66B4" w14:textId="77777777" w:rsidTr="00331FC9">
        <w:trPr>
          <w:trHeight w:val="1545"/>
        </w:trPr>
        <w:tc>
          <w:tcPr>
            <w:tcW w:w="1295" w:type="dxa"/>
            <w:shd w:val="clear" w:color="auto" w:fill="auto"/>
            <w:noWrap/>
            <w:hideMark/>
          </w:tcPr>
          <w:p w14:paraId="6EF3602A" w14:textId="77777777" w:rsidR="00221984" w:rsidRPr="000D2091" w:rsidRDefault="00221984" w:rsidP="003C3E51">
            <w:pPr>
              <w:rPr>
                <w:rFonts w:eastAsia="Times New Roman" w:cs="Times New Roman"/>
                <w:sz w:val="20"/>
                <w:szCs w:val="20"/>
              </w:rPr>
            </w:pPr>
            <w:r w:rsidRPr="000D2091">
              <w:rPr>
                <w:rFonts w:eastAsia="Times New Roman" w:cs="Times New Roman"/>
                <w:sz w:val="20"/>
                <w:szCs w:val="20"/>
              </w:rPr>
              <w:t>Deer Lodge</w:t>
            </w:r>
          </w:p>
        </w:tc>
        <w:tc>
          <w:tcPr>
            <w:tcW w:w="2750" w:type="dxa"/>
            <w:shd w:val="clear" w:color="auto" w:fill="auto"/>
            <w:hideMark/>
          </w:tcPr>
          <w:p w14:paraId="09BD1A15" w14:textId="77777777" w:rsidR="00221984" w:rsidRPr="000D2091" w:rsidRDefault="00221984" w:rsidP="003C3E51">
            <w:pPr>
              <w:rPr>
                <w:rFonts w:eastAsia="Times New Roman" w:cs="Times New Roman"/>
                <w:sz w:val="20"/>
                <w:szCs w:val="20"/>
              </w:rPr>
            </w:pPr>
            <w:r w:rsidRPr="000D2091">
              <w:rPr>
                <w:rFonts w:eastAsia="Times New Roman" w:cs="Times New Roman"/>
                <w:sz w:val="20"/>
                <w:szCs w:val="20"/>
              </w:rPr>
              <w:t>Beaver Conflict Resolution Pilot Project</w:t>
            </w:r>
          </w:p>
        </w:tc>
        <w:tc>
          <w:tcPr>
            <w:tcW w:w="1273" w:type="dxa"/>
            <w:shd w:val="clear" w:color="auto" w:fill="auto"/>
            <w:noWrap/>
            <w:hideMark/>
          </w:tcPr>
          <w:p w14:paraId="369E3D9E" w14:textId="77777777" w:rsidR="00221984" w:rsidRPr="000D2091" w:rsidRDefault="00221984" w:rsidP="003C3E51">
            <w:pPr>
              <w:jc w:val="right"/>
              <w:rPr>
                <w:rFonts w:eastAsia="Times New Roman" w:cs="Times New Roman"/>
                <w:sz w:val="20"/>
                <w:szCs w:val="20"/>
              </w:rPr>
            </w:pPr>
            <w:r w:rsidRPr="000D2091">
              <w:rPr>
                <w:rFonts w:eastAsia="Times New Roman" w:cs="Times New Roman"/>
                <w:sz w:val="20"/>
                <w:szCs w:val="20"/>
              </w:rPr>
              <w:t>$17,600.00</w:t>
            </w:r>
          </w:p>
        </w:tc>
        <w:tc>
          <w:tcPr>
            <w:tcW w:w="2427" w:type="dxa"/>
            <w:shd w:val="clear" w:color="auto" w:fill="auto"/>
            <w:noWrap/>
            <w:hideMark/>
          </w:tcPr>
          <w:p w14:paraId="6FAEB3C2" w14:textId="77777777" w:rsidR="00221984" w:rsidRPr="000D2091" w:rsidRDefault="00221984" w:rsidP="003C3E51">
            <w:pPr>
              <w:jc w:val="right"/>
              <w:rPr>
                <w:rFonts w:eastAsia="Times New Roman" w:cs="Times New Roman"/>
                <w:sz w:val="20"/>
                <w:szCs w:val="20"/>
              </w:rPr>
            </w:pPr>
            <w:r w:rsidRPr="000D2091">
              <w:rPr>
                <w:rFonts w:eastAsia="Times New Roman" w:cs="Times New Roman"/>
                <w:sz w:val="20"/>
                <w:szCs w:val="20"/>
              </w:rPr>
              <w:t>$8,800.00</w:t>
            </w:r>
          </w:p>
        </w:tc>
        <w:tc>
          <w:tcPr>
            <w:tcW w:w="3225" w:type="dxa"/>
          </w:tcPr>
          <w:p w14:paraId="1C32FFC2" w14:textId="77777777" w:rsidR="00221984" w:rsidRPr="00331FC9" w:rsidRDefault="00221984" w:rsidP="003C3E51">
            <w:pPr>
              <w:rPr>
                <w:rFonts w:eastAsia="Times New Roman" w:cs="Times New Roman"/>
                <w:sz w:val="20"/>
                <w:szCs w:val="20"/>
              </w:rPr>
            </w:pPr>
            <w:r w:rsidRPr="00331FC9">
              <w:rPr>
                <w:rFonts w:eastAsia="Times New Roman" w:cs="Times New Roman"/>
                <w:sz w:val="20"/>
                <w:szCs w:val="20"/>
              </w:rPr>
              <w:t xml:space="preserve">The Council asked why FWP was not a contributing partner.  District representatives indicated that </w:t>
            </w:r>
            <w:r w:rsidRPr="000D2091">
              <w:rPr>
                <w:rFonts w:eastAsia="Times New Roman" w:cs="Times New Roman"/>
                <w:sz w:val="20"/>
                <w:szCs w:val="20"/>
              </w:rPr>
              <w:t xml:space="preserve">FWP can't provide any funding because they do not have a wildlife </w:t>
            </w:r>
            <w:r w:rsidRPr="00331FC9">
              <w:rPr>
                <w:rFonts w:eastAsia="Times New Roman" w:cs="Times New Roman"/>
                <w:sz w:val="20"/>
                <w:szCs w:val="20"/>
              </w:rPr>
              <w:t>c</w:t>
            </w:r>
            <w:r w:rsidRPr="000D2091">
              <w:rPr>
                <w:rFonts w:eastAsia="Times New Roman" w:cs="Times New Roman"/>
                <w:sz w:val="20"/>
                <w:szCs w:val="20"/>
              </w:rPr>
              <w:t>ategory for beaver.  Since this is a research project, the conservation district should start with the amount received.  The RCAC will make an onsite visit in August 2020 to v</w:t>
            </w:r>
            <w:r w:rsidRPr="00331FC9">
              <w:rPr>
                <w:rFonts w:eastAsia="Times New Roman" w:cs="Times New Roman"/>
                <w:sz w:val="20"/>
                <w:szCs w:val="20"/>
              </w:rPr>
              <w:t>ie</w:t>
            </w:r>
            <w:r w:rsidRPr="000D2091">
              <w:rPr>
                <w:rFonts w:eastAsia="Times New Roman" w:cs="Times New Roman"/>
                <w:sz w:val="20"/>
                <w:szCs w:val="20"/>
              </w:rPr>
              <w:t>w the project, data and results.  At that time there may be an opportunity for the district to apply for more 223 funds.</w:t>
            </w:r>
          </w:p>
        </w:tc>
      </w:tr>
      <w:tr w:rsidR="00221984" w:rsidRPr="00331FC9" w14:paraId="2BF30371" w14:textId="77777777" w:rsidTr="00331FC9">
        <w:trPr>
          <w:trHeight w:val="300"/>
        </w:trPr>
        <w:tc>
          <w:tcPr>
            <w:tcW w:w="1295" w:type="dxa"/>
            <w:shd w:val="clear" w:color="auto" w:fill="auto"/>
            <w:noWrap/>
            <w:hideMark/>
          </w:tcPr>
          <w:p w14:paraId="3792EE31" w14:textId="77777777" w:rsidR="00221984" w:rsidRPr="000D2091" w:rsidRDefault="00221984" w:rsidP="003C3E51">
            <w:pPr>
              <w:rPr>
                <w:rFonts w:eastAsia="Times New Roman" w:cs="Times New Roman"/>
                <w:sz w:val="20"/>
                <w:szCs w:val="20"/>
              </w:rPr>
            </w:pPr>
            <w:r w:rsidRPr="000D2091">
              <w:rPr>
                <w:rFonts w:eastAsia="Times New Roman" w:cs="Times New Roman"/>
                <w:sz w:val="20"/>
                <w:szCs w:val="20"/>
              </w:rPr>
              <w:t>Fergus</w:t>
            </w:r>
          </w:p>
        </w:tc>
        <w:tc>
          <w:tcPr>
            <w:tcW w:w="2750" w:type="dxa"/>
            <w:shd w:val="clear" w:color="auto" w:fill="auto"/>
            <w:hideMark/>
          </w:tcPr>
          <w:p w14:paraId="1AC8AFBC" w14:textId="77777777" w:rsidR="00221984" w:rsidRPr="000D2091" w:rsidRDefault="00221984" w:rsidP="003C3E51">
            <w:pPr>
              <w:rPr>
                <w:rFonts w:eastAsia="Times New Roman" w:cs="Times New Roman"/>
                <w:sz w:val="20"/>
                <w:szCs w:val="20"/>
              </w:rPr>
            </w:pPr>
            <w:r w:rsidRPr="000D2091">
              <w:rPr>
                <w:rFonts w:eastAsia="Times New Roman" w:cs="Times New Roman"/>
                <w:sz w:val="20"/>
                <w:szCs w:val="20"/>
              </w:rPr>
              <w:t>No-Till Drill</w:t>
            </w:r>
          </w:p>
        </w:tc>
        <w:tc>
          <w:tcPr>
            <w:tcW w:w="1273" w:type="dxa"/>
            <w:shd w:val="clear" w:color="auto" w:fill="auto"/>
            <w:noWrap/>
            <w:hideMark/>
          </w:tcPr>
          <w:p w14:paraId="200A8249" w14:textId="77777777" w:rsidR="00221984" w:rsidRPr="000D2091" w:rsidRDefault="00221984" w:rsidP="003C3E51">
            <w:pPr>
              <w:jc w:val="right"/>
              <w:rPr>
                <w:rFonts w:eastAsia="Times New Roman" w:cs="Times New Roman"/>
                <w:sz w:val="20"/>
                <w:szCs w:val="20"/>
              </w:rPr>
            </w:pPr>
            <w:r w:rsidRPr="000D2091">
              <w:rPr>
                <w:rFonts w:eastAsia="Times New Roman" w:cs="Times New Roman"/>
                <w:sz w:val="20"/>
                <w:szCs w:val="20"/>
              </w:rPr>
              <w:t>$20,000.00</w:t>
            </w:r>
          </w:p>
        </w:tc>
        <w:tc>
          <w:tcPr>
            <w:tcW w:w="2427" w:type="dxa"/>
            <w:shd w:val="clear" w:color="auto" w:fill="auto"/>
            <w:noWrap/>
            <w:hideMark/>
          </w:tcPr>
          <w:p w14:paraId="4E34ECD5" w14:textId="77777777" w:rsidR="00221984" w:rsidRPr="000D2091" w:rsidRDefault="00221984" w:rsidP="003C3E51">
            <w:pPr>
              <w:jc w:val="right"/>
              <w:rPr>
                <w:rFonts w:eastAsia="Times New Roman" w:cs="Times New Roman"/>
                <w:sz w:val="20"/>
                <w:szCs w:val="20"/>
              </w:rPr>
            </w:pPr>
            <w:r w:rsidRPr="000D2091">
              <w:rPr>
                <w:rFonts w:eastAsia="Times New Roman" w:cs="Times New Roman"/>
                <w:sz w:val="20"/>
                <w:szCs w:val="20"/>
              </w:rPr>
              <w:t>$20,000.00</w:t>
            </w:r>
          </w:p>
        </w:tc>
        <w:tc>
          <w:tcPr>
            <w:tcW w:w="3225" w:type="dxa"/>
          </w:tcPr>
          <w:p w14:paraId="5F6E77B3" w14:textId="77777777" w:rsidR="00221984" w:rsidRPr="00331FC9" w:rsidRDefault="00221984" w:rsidP="003C3E51">
            <w:pPr>
              <w:rPr>
                <w:rFonts w:eastAsia="Times New Roman" w:cs="Times New Roman"/>
                <w:sz w:val="20"/>
                <w:szCs w:val="20"/>
              </w:rPr>
            </w:pPr>
            <w:r w:rsidRPr="00331FC9">
              <w:rPr>
                <w:rFonts w:eastAsia="Times New Roman" w:cs="Times New Roman"/>
                <w:sz w:val="20"/>
                <w:szCs w:val="20"/>
              </w:rPr>
              <w:t>No comments.</w:t>
            </w:r>
          </w:p>
        </w:tc>
      </w:tr>
      <w:tr w:rsidR="00221984" w:rsidRPr="00331FC9" w14:paraId="65B9F04B" w14:textId="77777777" w:rsidTr="00331FC9">
        <w:trPr>
          <w:trHeight w:val="765"/>
        </w:trPr>
        <w:tc>
          <w:tcPr>
            <w:tcW w:w="1295" w:type="dxa"/>
            <w:shd w:val="clear" w:color="auto" w:fill="auto"/>
            <w:noWrap/>
            <w:hideMark/>
          </w:tcPr>
          <w:p w14:paraId="24D7D1BB" w14:textId="77777777" w:rsidR="00221984" w:rsidRPr="000D2091" w:rsidRDefault="00221984" w:rsidP="003C3E51">
            <w:pPr>
              <w:rPr>
                <w:rFonts w:eastAsia="Times New Roman" w:cs="Times New Roman"/>
                <w:sz w:val="20"/>
                <w:szCs w:val="20"/>
              </w:rPr>
            </w:pPr>
            <w:r w:rsidRPr="000D2091">
              <w:rPr>
                <w:rFonts w:eastAsia="Times New Roman" w:cs="Times New Roman"/>
                <w:sz w:val="20"/>
                <w:szCs w:val="20"/>
              </w:rPr>
              <w:t>Missoula</w:t>
            </w:r>
          </w:p>
        </w:tc>
        <w:tc>
          <w:tcPr>
            <w:tcW w:w="2750" w:type="dxa"/>
            <w:shd w:val="clear" w:color="auto" w:fill="auto"/>
            <w:noWrap/>
            <w:hideMark/>
          </w:tcPr>
          <w:p w14:paraId="0695B7F2" w14:textId="77777777" w:rsidR="00221984" w:rsidRPr="000D2091" w:rsidRDefault="00221984" w:rsidP="003C3E51">
            <w:pPr>
              <w:rPr>
                <w:rFonts w:eastAsia="Times New Roman" w:cs="Times New Roman"/>
                <w:sz w:val="20"/>
                <w:szCs w:val="20"/>
              </w:rPr>
            </w:pPr>
            <w:r w:rsidRPr="000D2091">
              <w:rPr>
                <w:rFonts w:eastAsia="Times New Roman" w:cs="Times New Roman"/>
                <w:sz w:val="20"/>
                <w:szCs w:val="20"/>
              </w:rPr>
              <w:t>Seeley Lake Clear</w:t>
            </w:r>
            <w:r w:rsidR="00583D32">
              <w:rPr>
                <w:rFonts w:eastAsia="Times New Roman" w:cs="Times New Roman"/>
                <w:sz w:val="20"/>
                <w:szCs w:val="20"/>
              </w:rPr>
              <w:t>water</w:t>
            </w:r>
            <w:r w:rsidRPr="000D2091">
              <w:rPr>
                <w:rFonts w:eastAsia="Times New Roman" w:cs="Times New Roman"/>
                <w:sz w:val="20"/>
                <w:szCs w:val="20"/>
              </w:rPr>
              <w:t xml:space="preserve"> River Watershed E &amp; O</w:t>
            </w:r>
            <w:r w:rsidRPr="00331FC9">
              <w:rPr>
                <w:rFonts w:eastAsia="Times New Roman" w:cs="Times New Roman"/>
                <w:sz w:val="20"/>
                <w:szCs w:val="20"/>
              </w:rPr>
              <w:t xml:space="preserve"> Program.</w:t>
            </w:r>
          </w:p>
        </w:tc>
        <w:tc>
          <w:tcPr>
            <w:tcW w:w="1273" w:type="dxa"/>
            <w:shd w:val="clear" w:color="auto" w:fill="auto"/>
            <w:noWrap/>
            <w:hideMark/>
          </w:tcPr>
          <w:p w14:paraId="38BE7D8E" w14:textId="77777777" w:rsidR="00221984" w:rsidRPr="000D2091" w:rsidRDefault="00221984" w:rsidP="003C3E51">
            <w:pPr>
              <w:jc w:val="right"/>
              <w:rPr>
                <w:rFonts w:eastAsia="Times New Roman" w:cs="Times New Roman"/>
                <w:sz w:val="20"/>
                <w:szCs w:val="20"/>
              </w:rPr>
            </w:pPr>
            <w:r w:rsidRPr="000D2091">
              <w:rPr>
                <w:rFonts w:eastAsia="Times New Roman" w:cs="Times New Roman"/>
                <w:sz w:val="20"/>
                <w:szCs w:val="20"/>
              </w:rPr>
              <w:t>$9,900.00</w:t>
            </w:r>
          </w:p>
        </w:tc>
        <w:tc>
          <w:tcPr>
            <w:tcW w:w="2427" w:type="dxa"/>
            <w:shd w:val="clear" w:color="auto" w:fill="auto"/>
            <w:noWrap/>
            <w:hideMark/>
          </w:tcPr>
          <w:p w14:paraId="7EE384BA" w14:textId="77777777" w:rsidR="00221984" w:rsidRPr="000D2091" w:rsidRDefault="00221984" w:rsidP="003C3E51">
            <w:pPr>
              <w:rPr>
                <w:rFonts w:eastAsia="Times New Roman" w:cs="Times New Roman"/>
                <w:sz w:val="20"/>
                <w:szCs w:val="20"/>
              </w:rPr>
            </w:pPr>
            <w:r w:rsidRPr="000D2091">
              <w:rPr>
                <w:rFonts w:eastAsia="Times New Roman" w:cs="Times New Roman"/>
                <w:sz w:val="20"/>
                <w:szCs w:val="20"/>
              </w:rPr>
              <w:t> </w:t>
            </w:r>
          </w:p>
        </w:tc>
        <w:tc>
          <w:tcPr>
            <w:tcW w:w="3225" w:type="dxa"/>
          </w:tcPr>
          <w:p w14:paraId="7967D318" w14:textId="77777777" w:rsidR="00221984" w:rsidRPr="00331FC9" w:rsidRDefault="00221984" w:rsidP="003C3E51">
            <w:pPr>
              <w:rPr>
                <w:rFonts w:eastAsia="Times New Roman" w:cs="Times New Roman"/>
                <w:sz w:val="20"/>
                <w:szCs w:val="20"/>
              </w:rPr>
            </w:pPr>
            <w:r w:rsidRPr="000D2091">
              <w:rPr>
                <w:rFonts w:eastAsia="Times New Roman" w:cs="Times New Roman"/>
                <w:sz w:val="20"/>
                <w:szCs w:val="20"/>
              </w:rPr>
              <w:t xml:space="preserve">This project was not funded because </w:t>
            </w:r>
          </w:p>
          <w:p w14:paraId="1F1A45EB" w14:textId="77777777" w:rsidR="00221984" w:rsidRPr="00331FC9" w:rsidRDefault="00221984" w:rsidP="003C3E51">
            <w:pPr>
              <w:rPr>
                <w:rFonts w:eastAsia="Times New Roman" w:cs="Times New Roman"/>
                <w:sz w:val="20"/>
                <w:szCs w:val="20"/>
              </w:rPr>
            </w:pPr>
            <w:r w:rsidRPr="000D2091">
              <w:rPr>
                <w:rFonts w:eastAsia="Times New Roman" w:cs="Times New Roman"/>
                <w:sz w:val="20"/>
                <w:szCs w:val="20"/>
              </w:rPr>
              <w:t>the Council considered it to be the responsibility of the Health Department to conduct an education</w:t>
            </w:r>
          </w:p>
          <w:p w14:paraId="4DF90822" w14:textId="77777777" w:rsidR="00221984" w:rsidRPr="00331FC9" w:rsidRDefault="00221984" w:rsidP="003C3E51">
            <w:pPr>
              <w:rPr>
                <w:rFonts w:eastAsia="Times New Roman" w:cs="Times New Roman"/>
                <w:sz w:val="20"/>
                <w:szCs w:val="20"/>
              </w:rPr>
            </w:pPr>
            <w:r w:rsidRPr="000D2091">
              <w:rPr>
                <w:rFonts w:eastAsia="Times New Roman" w:cs="Times New Roman"/>
                <w:sz w:val="20"/>
                <w:szCs w:val="20"/>
              </w:rPr>
              <w:t xml:space="preserve"> and outreach program</w:t>
            </w:r>
            <w:r w:rsidR="00CE2117">
              <w:rPr>
                <w:rFonts w:eastAsia="Times New Roman" w:cs="Times New Roman"/>
                <w:sz w:val="20"/>
                <w:szCs w:val="20"/>
              </w:rPr>
              <w:t>. Linda will follow up with CD to clarify.</w:t>
            </w:r>
          </w:p>
        </w:tc>
      </w:tr>
      <w:tr w:rsidR="00221984" w:rsidRPr="00331FC9" w14:paraId="58A55456" w14:textId="77777777" w:rsidTr="00331FC9">
        <w:trPr>
          <w:trHeight w:val="300"/>
        </w:trPr>
        <w:tc>
          <w:tcPr>
            <w:tcW w:w="1295" w:type="dxa"/>
            <w:shd w:val="clear" w:color="auto" w:fill="auto"/>
            <w:noWrap/>
            <w:hideMark/>
          </w:tcPr>
          <w:p w14:paraId="29445553" w14:textId="77777777" w:rsidR="00221984" w:rsidRPr="000D2091" w:rsidRDefault="00221984" w:rsidP="003C3E51">
            <w:pPr>
              <w:rPr>
                <w:rFonts w:eastAsia="Times New Roman" w:cs="Times New Roman"/>
                <w:sz w:val="20"/>
                <w:szCs w:val="20"/>
              </w:rPr>
            </w:pPr>
            <w:r w:rsidRPr="000D2091">
              <w:rPr>
                <w:rFonts w:eastAsia="Times New Roman" w:cs="Times New Roman"/>
                <w:sz w:val="20"/>
                <w:szCs w:val="20"/>
              </w:rPr>
              <w:t>Upper Musselshell</w:t>
            </w:r>
          </w:p>
        </w:tc>
        <w:tc>
          <w:tcPr>
            <w:tcW w:w="2750" w:type="dxa"/>
            <w:shd w:val="clear" w:color="auto" w:fill="auto"/>
            <w:noWrap/>
            <w:hideMark/>
          </w:tcPr>
          <w:p w14:paraId="3D8A1018" w14:textId="77777777" w:rsidR="00221984" w:rsidRPr="000D2091" w:rsidRDefault="00221984" w:rsidP="003C3E51">
            <w:pPr>
              <w:rPr>
                <w:rFonts w:eastAsia="Times New Roman" w:cs="Times New Roman"/>
                <w:sz w:val="20"/>
                <w:szCs w:val="20"/>
              </w:rPr>
            </w:pPr>
            <w:r w:rsidRPr="000D2091">
              <w:rPr>
                <w:rFonts w:eastAsia="Times New Roman" w:cs="Times New Roman"/>
                <w:sz w:val="20"/>
                <w:szCs w:val="20"/>
              </w:rPr>
              <w:t>Supply Canal Rehab Roma Ranch</w:t>
            </w:r>
          </w:p>
        </w:tc>
        <w:tc>
          <w:tcPr>
            <w:tcW w:w="1273" w:type="dxa"/>
            <w:shd w:val="clear" w:color="auto" w:fill="auto"/>
            <w:noWrap/>
            <w:hideMark/>
          </w:tcPr>
          <w:p w14:paraId="7498325F" w14:textId="77777777" w:rsidR="00221984" w:rsidRPr="000D2091" w:rsidRDefault="00221984" w:rsidP="003C3E51">
            <w:pPr>
              <w:jc w:val="right"/>
              <w:rPr>
                <w:rFonts w:eastAsia="Times New Roman" w:cs="Times New Roman"/>
                <w:sz w:val="20"/>
                <w:szCs w:val="20"/>
              </w:rPr>
            </w:pPr>
            <w:r w:rsidRPr="000D2091">
              <w:rPr>
                <w:rFonts w:eastAsia="Times New Roman" w:cs="Times New Roman"/>
                <w:sz w:val="20"/>
                <w:szCs w:val="20"/>
              </w:rPr>
              <w:t>$12,801.00</w:t>
            </w:r>
          </w:p>
        </w:tc>
        <w:tc>
          <w:tcPr>
            <w:tcW w:w="2427" w:type="dxa"/>
            <w:shd w:val="clear" w:color="auto" w:fill="auto"/>
            <w:noWrap/>
            <w:hideMark/>
          </w:tcPr>
          <w:p w14:paraId="0DD1558F" w14:textId="77777777" w:rsidR="00221984" w:rsidRPr="000D2091" w:rsidRDefault="00221984" w:rsidP="003C3E51">
            <w:pPr>
              <w:jc w:val="right"/>
              <w:rPr>
                <w:rFonts w:eastAsia="Times New Roman" w:cs="Times New Roman"/>
                <w:sz w:val="20"/>
                <w:szCs w:val="20"/>
              </w:rPr>
            </w:pPr>
            <w:r w:rsidRPr="000D2091">
              <w:rPr>
                <w:rFonts w:eastAsia="Times New Roman" w:cs="Times New Roman"/>
                <w:sz w:val="20"/>
                <w:szCs w:val="20"/>
              </w:rPr>
              <w:t>$12,801.00</w:t>
            </w:r>
          </w:p>
        </w:tc>
        <w:tc>
          <w:tcPr>
            <w:tcW w:w="3225" w:type="dxa"/>
          </w:tcPr>
          <w:p w14:paraId="32CC09EB" w14:textId="77777777" w:rsidR="00221984" w:rsidRPr="00331FC9" w:rsidRDefault="00221984" w:rsidP="003C3E51">
            <w:pPr>
              <w:rPr>
                <w:rFonts w:eastAsia="Times New Roman" w:cs="Times New Roman"/>
                <w:sz w:val="20"/>
                <w:szCs w:val="20"/>
              </w:rPr>
            </w:pPr>
            <w:r w:rsidRPr="00331FC9">
              <w:rPr>
                <w:rFonts w:eastAsia="Times New Roman" w:cs="Times New Roman"/>
                <w:sz w:val="20"/>
                <w:szCs w:val="20"/>
              </w:rPr>
              <w:t>No comments.</w:t>
            </w:r>
          </w:p>
        </w:tc>
      </w:tr>
      <w:tr w:rsidR="00221984" w:rsidRPr="00331FC9" w14:paraId="770B9B1E" w14:textId="77777777" w:rsidTr="00331FC9">
        <w:trPr>
          <w:trHeight w:val="315"/>
        </w:trPr>
        <w:tc>
          <w:tcPr>
            <w:tcW w:w="1295" w:type="dxa"/>
            <w:shd w:val="clear" w:color="auto" w:fill="auto"/>
            <w:noWrap/>
            <w:hideMark/>
          </w:tcPr>
          <w:p w14:paraId="59A14A85" w14:textId="77777777" w:rsidR="00221984" w:rsidRPr="000D2091" w:rsidRDefault="00221984" w:rsidP="003C3E51">
            <w:pPr>
              <w:rPr>
                <w:rFonts w:eastAsia="Times New Roman" w:cs="Times New Roman"/>
                <w:sz w:val="20"/>
                <w:szCs w:val="20"/>
              </w:rPr>
            </w:pPr>
            <w:r w:rsidRPr="000D2091">
              <w:rPr>
                <w:rFonts w:eastAsia="Times New Roman" w:cs="Times New Roman"/>
                <w:sz w:val="20"/>
                <w:szCs w:val="20"/>
              </w:rPr>
              <w:t>Yellowstone</w:t>
            </w:r>
          </w:p>
        </w:tc>
        <w:tc>
          <w:tcPr>
            <w:tcW w:w="2750" w:type="dxa"/>
            <w:shd w:val="clear" w:color="auto" w:fill="auto"/>
            <w:noWrap/>
            <w:hideMark/>
          </w:tcPr>
          <w:p w14:paraId="1BB4C402" w14:textId="77777777" w:rsidR="00221984" w:rsidRPr="000D2091" w:rsidRDefault="00221984" w:rsidP="003C3E51">
            <w:pPr>
              <w:rPr>
                <w:rFonts w:eastAsia="Times New Roman" w:cs="Times New Roman"/>
                <w:sz w:val="20"/>
                <w:szCs w:val="20"/>
              </w:rPr>
            </w:pPr>
            <w:r w:rsidRPr="000D2091">
              <w:rPr>
                <w:rFonts w:eastAsia="Times New Roman" w:cs="Times New Roman"/>
                <w:sz w:val="20"/>
                <w:szCs w:val="20"/>
              </w:rPr>
              <w:t>Salt Cedar Management</w:t>
            </w:r>
          </w:p>
        </w:tc>
        <w:tc>
          <w:tcPr>
            <w:tcW w:w="1273" w:type="dxa"/>
            <w:shd w:val="clear" w:color="auto" w:fill="auto"/>
            <w:noWrap/>
            <w:hideMark/>
          </w:tcPr>
          <w:p w14:paraId="00D04597" w14:textId="77777777" w:rsidR="00221984" w:rsidRPr="000D2091" w:rsidRDefault="00221984" w:rsidP="003C3E51">
            <w:pPr>
              <w:jc w:val="right"/>
              <w:rPr>
                <w:rFonts w:eastAsia="Times New Roman" w:cs="Times New Roman"/>
                <w:sz w:val="20"/>
                <w:szCs w:val="20"/>
              </w:rPr>
            </w:pPr>
            <w:r w:rsidRPr="000D2091">
              <w:rPr>
                <w:rFonts w:eastAsia="Times New Roman" w:cs="Times New Roman"/>
                <w:sz w:val="20"/>
                <w:szCs w:val="20"/>
              </w:rPr>
              <w:t>$25,000.00</w:t>
            </w:r>
          </w:p>
        </w:tc>
        <w:tc>
          <w:tcPr>
            <w:tcW w:w="2427" w:type="dxa"/>
            <w:shd w:val="clear" w:color="auto" w:fill="auto"/>
            <w:noWrap/>
            <w:hideMark/>
          </w:tcPr>
          <w:p w14:paraId="510A628F" w14:textId="77777777" w:rsidR="00221984" w:rsidRPr="000D2091" w:rsidRDefault="00221984" w:rsidP="003C3E51">
            <w:pPr>
              <w:jc w:val="right"/>
              <w:rPr>
                <w:rFonts w:eastAsia="Times New Roman" w:cs="Times New Roman"/>
                <w:sz w:val="20"/>
                <w:szCs w:val="20"/>
              </w:rPr>
            </w:pPr>
            <w:r w:rsidRPr="000D2091">
              <w:rPr>
                <w:rFonts w:eastAsia="Times New Roman" w:cs="Times New Roman"/>
                <w:sz w:val="20"/>
                <w:szCs w:val="20"/>
              </w:rPr>
              <w:t>$25,000.00</w:t>
            </w:r>
          </w:p>
        </w:tc>
        <w:tc>
          <w:tcPr>
            <w:tcW w:w="3225" w:type="dxa"/>
          </w:tcPr>
          <w:p w14:paraId="1673E457" w14:textId="77777777" w:rsidR="00221984" w:rsidRPr="00331FC9" w:rsidRDefault="00221984" w:rsidP="003C3E51">
            <w:pPr>
              <w:rPr>
                <w:rFonts w:eastAsia="Times New Roman" w:cs="Times New Roman"/>
                <w:sz w:val="20"/>
                <w:szCs w:val="20"/>
              </w:rPr>
            </w:pPr>
            <w:r w:rsidRPr="00331FC9">
              <w:rPr>
                <w:rFonts w:eastAsia="Times New Roman" w:cs="Times New Roman"/>
                <w:sz w:val="20"/>
                <w:szCs w:val="20"/>
              </w:rPr>
              <w:t>No comments.</w:t>
            </w:r>
          </w:p>
        </w:tc>
      </w:tr>
      <w:tr w:rsidR="00221984" w:rsidRPr="00331FC9" w14:paraId="3A9DB7DD" w14:textId="77777777" w:rsidTr="00331FC9">
        <w:trPr>
          <w:trHeight w:val="300"/>
        </w:trPr>
        <w:tc>
          <w:tcPr>
            <w:tcW w:w="1295" w:type="dxa"/>
            <w:shd w:val="clear" w:color="auto" w:fill="auto"/>
            <w:noWrap/>
            <w:hideMark/>
          </w:tcPr>
          <w:p w14:paraId="134AD2F9" w14:textId="77777777" w:rsidR="00221984" w:rsidRPr="000D2091" w:rsidRDefault="00221984" w:rsidP="003C3E51">
            <w:pPr>
              <w:rPr>
                <w:rFonts w:eastAsia="Times New Roman" w:cs="Times New Roman"/>
                <w:sz w:val="20"/>
                <w:szCs w:val="20"/>
              </w:rPr>
            </w:pPr>
            <w:r w:rsidRPr="000D2091">
              <w:rPr>
                <w:rFonts w:eastAsia="Times New Roman" w:cs="Times New Roman"/>
                <w:sz w:val="20"/>
                <w:szCs w:val="20"/>
              </w:rPr>
              <w:t> </w:t>
            </w:r>
          </w:p>
        </w:tc>
        <w:tc>
          <w:tcPr>
            <w:tcW w:w="2750" w:type="dxa"/>
            <w:shd w:val="clear" w:color="auto" w:fill="auto"/>
            <w:noWrap/>
            <w:hideMark/>
          </w:tcPr>
          <w:p w14:paraId="388C64B6" w14:textId="77777777" w:rsidR="00221984" w:rsidRPr="000D2091" w:rsidRDefault="00221984" w:rsidP="003C3E51">
            <w:pPr>
              <w:rPr>
                <w:rFonts w:eastAsia="Times New Roman" w:cs="Times New Roman"/>
                <w:b/>
                <w:sz w:val="20"/>
                <w:szCs w:val="20"/>
              </w:rPr>
            </w:pPr>
            <w:r w:rsidRPr="000D2091">
              <w:rPr>
                <w:rFonts w:eastAsia="Times New Roman" w:cs="Times New Roman"/>
                <w:sz w:val="20"/>
                <w:szCs w:val="20"/>
              </w:rPr>
              <w:t> </w:t>
            </w:r>
            <w:r w:rsidR="00331FC9" w:rsidRPr="00331FC9">
              <w:rPr>
                <w:rFonts w:eastAsia="Times New Roman" w:cs="Times New Roman"/>
                <w:b/>
                <w:sz w:val="20"/>
                <w:szCs w:val="20"/>
              </w:rPr>
              <w:t>Total</w:t>
            </w:r>
          </w:p>
        </w:tc>
        <w:tc>
          <w:tcPr>
            <w:tcW w:w="1273" w:type="dxa"/>
            <w:shd w:val="clear" w:color="auto" w:fill="auto"/>
            <w:noWrap/>
            <w:hideMark/>
          </w:tcPr>
          <w:p w14:paraId="7D00742D" w14:textId="77777777" w:rsidR="00221984" w:rsidRPr="000D2091" w:rsidRDefault="00221984" w:rsidP="003C3E51">
            <w:pPr>
              <w:rPr>
                <w:rFonts w:eastAsia="Times New Roman" w:cs="Times New Roman"/>
                <w:sz w:val="20"/>
                <w:szCs w:val="20"/>
              </w:rPr>
            </w:pPr>
            <w:r w:rsidRPr="000D2091">
              <w:rPr>
                <w:rFonts w:eastAsia="Times New Roman" w:cs="Times New Roman"/>
                <w:sz w:val="20"/>
                <w:szCs w:val="20"/>
              </w:rPr>
              <w:t> </w:t>
            </w:r>
            <w:r w:rsidR="00331FC9" w:rsidRPr="00331FC9">
              <w:rPr>
                <w:rFonts w:eastAsia="Times New Roman" w:cs="Times New Roman"/>
                <w:b/>
                <w:sz w:val="20"/>
                <w:szCs w:val="20"/>
              </w:rPr>
              <w:t>$85,301.00</w:t>
            </w:r>
          </w:p>
        </w:tc>
        <w:tc>
          <w:tcPr>
            <w:tcW w:w="2427" w:type="dxa"/>
            <w:shd w:val="clear" w:color="auto" w:fill="auto"/>
            <w:noWrap/>
            <w:hideMark/>
          </w:tcPr>
          <w:p w14:paraId="1575EF4A" w14:textId="77777777" w:rsidR="00221984" w:rsidRPr="000D2091" w:rsidRDefault="00221984" w:rsidP="00331FC9">
            <w:pPr>
              <w:jc w:val="right"/>
              <w:rPr>
                <w:rFonts w:eastAsia="Times New Roman" w:cs="Times New Roman"/>
                <w:sz w:val="20"/>
                <w:szCs w:val="20"/>
              </w:rPr>
            </w:pPr>
            <w:r w:rsidRPr="000D2091">
              <w:rPr>
                <w:rFonts w:eastAsia="Times New Roman" w:cs="Times New Roman"/>
                <w:sz w:val="20"/>
                <w:szCs w:val="20"/>
              </w:rPr>
              <w:t> </w:t>
            </w:r>
            <w:r w:rsidR="00331FC9" w:rsidRPr="000D2091">
              <w:rPr>
                <w:rFonts w:eastAsia="Times New Roman" w:cs="Times New Roman"/>
                <w:b/>
                <w:sz w:val="20"/>
                <w:szCs w:val="20"/>
              </w:rPr>
              <w:t> </w:t>
            </w:r>
            <w:r w:rsidR="00331FC9" w:rsidRPr="00331FC9">
              <w:rPr>
                <w:rFonts w:eastAsia="Times New Roman" w:cs="Times New Roman"/>
                <w:b/>
                <w:sz w:val="20"/>
                <w:szCs w:val="20"/>
              </w:rPr>
              <w:t>$66,601.00</w:t>
            </w:r>
          </w:p>
        </w:tc>
        <w:tc>
          <w:tcPr>
            <w:tcW w:w="3225" w:type="dxa"/>
          </w:tcPr>
          <w:p w14:paraId="6869B6FB" w14:textId="77777777" w:rsidR="00221984" w:rsidRPr="00331FC9" w:rsidRDefault="00221984" w:rsidP="003C3E51">
            <w:pPr>
              <w:rPr>
                <w:rFonts w:eastAsia="Times New Roman" w:cs="Times New Roman"/>
                <w:sz w:val="20"/>
                <w:szCs w:val="20"/>
              </w:rPr>
            </w:pPr>
          </w:p>
        </w:tc>
      </w:tr>
    </w:tbl>
    <w:p w14:paraId="4FA37CB7" w14:textId="77777777" w:rsidR="0080324E" w:rsidRDefault="0080324E" w:rsidP="00221984">
      <w:pPr>
        <w:jc w:val="center"/>
        <w:rPr>
          <w:rFonts w:cs="Times New Roman"/>
          <w:sz w:val="20"/>
          <w:szCs w:val="20"/>
        </w:rPr>
      </w:pPr>
    </w:p>
    <w:p w14:paraId="4DF453BE" w14:textId="77777777" w:rsidR="00CD1280" w:rsidRDefault="00CD1280" w:rsidP="00CD1280">
      <w:pPr>
        <w:rPr>
          <w:b/>
        </w:rPr>
      </w:pPr>
      <w:r>
        <w:rPr>
          <w:b/>
        </w:rPr>
        <w:t>Leadership Summit Summary—Laurie Zeller/Gayla Wortman</w:t>
      </w:r>
    </w:p>
    <w:p w14:paraId="313D8301" w14:textId="77777777" w:rsidR="00535C5E" w:rsidRDefault="00535C5E" w:rsidP="00CD1280">
      <w:pPr>
        <w:rPr>
          <w:b/>
        </w:rPr>
      </w:pPr>
    </w:p>
    <w:p w14:paraId="1FD7952E" w14:textId="014DAE13" w:rsidR="00CF3FFB" w:rsidRDefault="00CF3FFB" w:rsidP="00CD1280">
      <w:r>
        <w:t>La</w:t>
      </w:r>
      <w:r w:rsidR="000E0FD3">
        <w:t xml:space="preserve">urie Zeller, Gayla Wortman, and Judi Knapp attended the leadership training on </w:t>
      </w:r>
      <w:r w:rsidR="00535C5E">
        <w:t xml:space="preserve">January 22 &amp; 23, 2020 in Billings, MT. </w:t>
      </w:r>
      <w:r w:rsidR="00CE2117">
        <w:t xml:space="preserve">MACD directors and conservation district employee leadership </w:t>
      </w:r>
      <w:r w:rsidR="000D4403">
        <w:t>were</w:t>
      </w:r>
      <w:r w:rsidR="00CE2117">
        <w:t xml:space="preserve"> present and felt that the leadership training should be provided to a wider range of supervisor and employees. The education committee and others will be engaged to meet this need, which was identified by conservation districts at the 2019 area </w:t>
      </w:r>
      <w:r w:rsidR="00CE2117">
        <w:lastRenderedPageBreak/>
        <w:t>meetings. Potentially, a session would be planned at each area meeting with a follow up at the conservation districts annual meeting.</w:t>
      </w:r>
      <w:r w:rsidR="00535C5E">
        <w:t xml:space="preserve"> </w:t>
      </w:r>
    </w:p>
    <w:p w14:paraId="2C82DB0E" w14:textId="77777777" w:rsidR="003B5ECF" w:rsidRDefault="003B5ECF" w:rsidP="00CD1280"/>
    <w:p w14:paraId="331A7DA8" w14:textId="77777777" w:rsidR="00CD1280" w:rsidRDefault="00CD1280" w:rsidP="00CD1280">
      <w:pPr>
        <w:rPr>
          <w:b/>
        </w:rPr>
      </w:pPr>
      <w:r>
        <w:rPr>
          <w:b/>
        </w:rPr>
        <w:t>M</w:t>
      </w:r>
      <w:r w:rsidR="00681F9A">
        <w:rPr>
          <w:b/>
        </w:rPr>
        <w:t xml:space="preserve">ontana </w:t>
      </w:r>
      <w:r>
        <w:rPr>
          <w:b/>
        </w:rPr>
        <w:t>E</w:t>
      </w:r>
      <w:r w:rsidR="00681F9A">
        <w:rPr>
          <w:b/>
        </w:rPr>
        <w:t xml:space="preserve">nvironmental </w:t>
      </w:r>
      <w:r>
        <w:rPr>
          <w:b/>
        </w:rPr>
        <w:t>P</w:t>
      </w:r>
      <w:r w:rsidR="00681F9A">
        <w:rPr>
          <w:b/>
        </w:rPr>
        <w:t xml:space="preserve">rotection </w:t>
      </w:r>
      <w:r>
        <w:rPr>
          <w:b/>
        </w:rPr>
        <w:t>A</w:t>
      </w:r>
      <w:r w:rsidR="00681F9A">
        <w:rPr>
          <w:b/>
        </w:rPr>
        <w:t>ct (MEPA)</w:t>
      </w:r>
      <w:r>
        <w:rPr>
          <w:b/>
        </w:rPr>
        <w:t xml:space="preserve"> Compliance for Grant Programs – Laurie Zeller</w:t>
      </w:r>
    </w:p>
    <w:p w14:paraId="1A535A25" w14:textId="77777777" w:rsidR="003B5ECF" w:rsidRDefault="003B5ECF" w:rsidP="00CD1280">
      <w:pPr>
        <w:rPr>
          <w:b/>
        </w:rPr>
      </w:pPr>
    </w:p>
    <w:p w14:paraId="0AB5F531" w14:textId="77777777" w:rsidR="00CD1280" w:rsidRDefault="00681F9A" w:rsidP="00CD1280">
      <w:r>
        <w:t xml:space="preserve">In its simplest terms, MEPA institutes a “look before you leap” policy by requiring state agencies to consider the environmental, social, cultural and economic impacts of proposals like mines, power plants, subdivisions, and timber sales, before the project is approved.  </w:t>
      </w:r>
      <w:r w:rsidR="003B5ECF">
        <w:t xml:space="preserve">Laurie Zeller indicated </w:t>
      </w:r>
      <w:r>
        <w:t xml:space="preserve">certain 223 proposals that are ground-work related may need to do a MEPA assessment.  Starting FY 2021. MEPA questions will be added to the 223 application.   </w:t>
      </w:r>
    </w:p>
    <w:p w14:paraId="018C11AD" w14:textId="77777777" w:rsidR="00681F9A" w:rsidRDefault="00681F9A" w:rsidP="00CD1280"/>
    <w:p w14:paraId="758EC827" w14:textId="77777777" w:rsidR="00CD1280" w:rsidRDefault="00CD1280" w:rsidP="00CD1280">
      <w:pPr>
        <w:rPr>
          <w:b/>
        </w:rPr>
      </w:pPr>
      <w:r>
        <w:rPr>
          <w:b/>
        </w:rPr>
        <w:t>2020 Training Opportunities for Conservation Districts—</w:t>
      </w:r>
      <w:r w:rsidR="007158D1">
        <w:rPr>
          <w:b/>
        </w:rPr>
        <w:t>Laurie Zeller</w:t>
      </w:r>
    </w:p>
    <w:p w14:paraId="01A163C1" w14:textId="77777777" w:rsidR="007158D1" w:rsidRDefault="007158D1" w:rsidP="00CD1280">
      <w:pPr>
        <w:rPr>
          <w:b/>
        </w:rPr>
      </w:pPr>
    </w:p>
    <w:p w14:paraId="277C8B34" w14:textId="77777777" w:rsidR="007158D1" w:rsidRPr="007158D1" w:rsidRDefault="007158D1" w:rsidP="00CD1280">
      <w:r>
        <w:t xml:space="preserve">Laurie Zeller provided an overview of the 2020 training schedule for conservation districts.  As of February 2020, five special topic webinars (CD Operation overview, 310, records management, completing accurate timesheets, and effective meeting management),  23 face-to-face meetings (new supervisor orientation, welcome wagon, </w:t>
      </w:r>
      <w:r w:rsidR="005D18DF">
        <w:t>etc.</w:t>
      </w:r>
      <w:r>
        <w:t>), and three 310 day-long seminars fill out the 2020 year training schedule.  More training options like property rights and reclamation plan development are under consideration.</w:t>
      </w:r>
    </w:p>
    <w:p w14:paraId="6FF5042F" w14:textId="77777777" w:rsidR="00681F9A" w:rsidRPr="00681F9A" w:rsidRDefault="00681F9A" w:rsidP="00CD1280"/>
    <w:p w14:paraId="25AE708E" w14:textId="77777777" w:rsidR="00CD1280" w:rsidRDefault="00CD1280" w:rsidP="00CD1280">
      <w:pPr>
        <w:rPr>
          <w:b/>
        </w:rPr>
      </w:pPr>
      <w:r>
        <w:rPr>
          <w:b/>
        </w:rPr>
        <w:t>2021 Administrative Grants---Karl Christians</w:t>
      </w:r>
    </w:p>
    <w:p w14:paraId="3020C1FE" w14:textId="77777777" w:rsidR="007158D1" w:rsidRDefault="007158D1" w:rsidP="00CD1280">
      <w:pPr>
        <w:rPr>
          <w:b/>
        </w:rPr>
      </w:pPr>
    </w:p>
    <w:p w14:paraId="73BEEEE8" w14:textId="77777777" w:rsidR="007158D1" w:rsidRDefault="007158D1" w:rsidP="00CD1280">
      <w:r>
        <w:t>Since Karl Christians was not able to attend the February 12, 2020 meeting, the 2021 administrative grant proposal will be rescheduled for the May 2020 meeting.</w:t>
      </w:r>
    </w:p>
    <w:p w14:paraId="7EE03EFA" w14:textId="77777777" w:rsidR="00CD1280" w:rsidRDefault="00CD1280" w:rsidP="00CD1280">
      <w:pPr>
        <w:rPr>
          <w:b/>
        </w:rPr>
      </w:pPr>
    </w:p>
    <w:p w14:paraId="7BDCF108" w14:textId="77777777" w:rsidR="00CD1280" w:rsidRDefault="00CD1280" w:rsidP="00CD1280">
      <w:pPr>
        <w:rPr>
          <w:b/>
        </w:rPr>
      </w:pPr>
      <w:r>
        <w:rPr>
          <w:b/>
        </w:rPr>
        <w:t xml:space="preserve">Pollinator Grants; Celebrating </w:t>
      </w:r>
      <w:r w:rsidR="005D18DF">
        <w:rPr>
          <w:b/>
        </w:rPr>
        <w:t>Envirothon’s 25</w:t>
      </w:r>
      <w:r w:rsidRPr="00494996">
        <w:rPr>
          <w:b/>
          <w:vertAlign w:val="superscript"/>
        </w:rPr>
        <w:t>th</w:t>
      </w:r>
      <w:r>
        <w:rPr>
          <w:b/>
        </w:rPr>
        <w:t xml:space="preserve"> Anniversary—Mary Hendrix</w:t>
      </w:r>
    </w:p>
    <w:p w14:paraId="6617B59E" w14:textId="77777777" w:rsidR="0043693A" w:rsidRDefault="0043693A" w:rsidP="00CD1280">
      <w:pPr>
        <w:rPr>
          <w:b/>
        </w:rPr>
      </w:pPr>
    </w:p>
    <w:p w14:paraId="369F5606" w14:textId="77777777" w:rsidR="006A19F0" w:rsidRDefault="00C1594F" w:rsidP="00CD1280">
      <w:r>
        <w:t xml:space="preserve">Mary developed an idea to </w:t>
      </w:r>
      <w:r w:rsidR="006A19F0">
        <w:t>create a documentary featuring that will celebrate Envirothon’s 25</w:t>
      </w:r>
      <w:r w:rsidR="006A19F0" w:rsidRPr="006A19F0">
        <w:rPr>
          <w:vertAlign w:val="superscript"/>
        </w:rPr>
        <w:t>th</w:t>
      </w:r>
      <w:r w:rsidR="006A19F0">
        <w:t xml:space="preserve"> Anniversary.  Two OPI cinematographers will work with Mary to produce the documentary.  </w:t>
      </w:r>
    </w:p>
    <w:p w14:paraId="19B4060A" w14:textId="77777777" w:rsidR="006D4BFF" w:rsidRDefault="006D4BFF" w:rsidP="006D4BFF">
      <w:r>
        <w:t>Mary Hendrix state that two pollinator grants have been funded to date.  What was the year the first K-12 published?</w:t>
      </w:r>
    </w:p>
    <w:p w14:paraId="2A5869A7" w14:textId="77777777" w:rsidR="006D4BFF" w:rsidRDefault="006D4BFF" w:rsidP="006D4BFF"/>
    <w:p w14:paraId="1CD9F21A" w14:textId="77777777" w:rsidR="006D4BFF" w:rsidRDefault="006D4BFF" w:rsidP="006D4BFF">
      <w:pPr>
        <w:pStyle w:val="ListParagraph"/>
        <w:numPr>
          <w:ilvl w:val="0"/>
          <w:numId w:val="3"/>
        </w:numPr>
        <w:rPr>
          <w:rFonts w:eastAsia="Times New Roman"/>
        </w:rPr>
      </w:pPr>
      <w:r>
        <w:rPr>
          <w:rFonts w:eastAsia="Times New Roman"/>
        </w:rPr>
        <w:t>Lake County CD—provide a statewide training to conservation districts to help them learn how to get citizens and the ag community involved in pollinator habitat enhancement.  Two seminars (Area 5 &amp; Area 6) have already been completed.</w:t>
      </w:r>
    </w:p>
    <w:p w14:paraId="70299F64" w14:textId="77777777" w:rsidR="006D4BFF" w:rsidRPr="006D4BFF" w:rsidRDefault="006D4BFF" w:rsidP="006D4BFF">
      <w:pPr>
        <w:pStyle w:val="ListParagraph"/>
        <w:numPr>
          <w:ilvl w:val="0"/>
          <w:numId w:val="3"/>
        </w:numPr>
        <w:rPr>
          <w:rFonts w:eastAsia="Times New Roman"/>
        </w:rPr>
      </w:pPr>
      <w:r w:rsidRPr="006D4BFF">
        <w:rPr>
          <w:rFonts w:eastAsia="Times New Roman"/>
        </w:rPr>
        <w:t>Gallatin Conservation District—update the K-12 pollinator brochure that was published 2012.  The Office of Public Instruction indicated this brochure is the number one most requested brochure within the school system.</w:t>
      </w:r>
    </w:p>
    <w:p w14:paraId="07D4B844" w14:textId="77777777" w:rsidR="001E1AAD" w:rsidRPr="0043693A" w:rsidRDefault="001E1AAD" w:rsidP="00CD1280"/>
    <w:p w14:paraId="06ADC2C7" w14:textId="77777777" w:rsidR="00E045F6" w:rsidRDefault="00CD1280" w:rsidP="00CD1280">
      <w:pPr>
        <w:rPr>
          <w:b/>
        </w:rPr>
      </w:pPr>
      <w:r>
        <w:rPr>
          <w:b/>
        </w:rPr>
        <w:t>Field Notes—Updates on Conserva</w:t>
      </w:r>
      <w:r w:rsidR="00E045F6">
        <w:rPr>
          <w:b/>
        </w:rPr>
        <w:t xml:space="preserve">tion Districts—Karl Christians &amp; </w:t>
      </w:r>
      <w:r>
        <w:rPr>
          <w:b/>
        </w:rPr>
        <w:t xml:space="preserve">Lance Clark, </w:t>
      </w:r>
    </w:p>
    <w:p w14:paraId="5315F700" w14:textId="77777777" w:rsidR="00E045F6" w:rsidRDefault="00E045F6" w:rsidP="00CD1280">
      <w:pPr>
        <w:rPr>
          <w:b/>
        </w:rPr>
      </w:pPr>
    </w:p>
    <w:p w14:paraId="0CB1A95F" w14:textId="77777777" w:rsidR="00E045F6" w:rsidRDefault="000823DB" w:rsidP="00CD1280">
      <w:r>
        <w:t xml:space="preserve">Laurie reported on behalf of Karl Christians </w:t>
      </w:r>
      <w:r w:rsidR="00C70C86">
        <w:t xml:space="preserve">and Lance Clark </w:t>
      </w:r>
      <w:r>
        <w:t>who w</w:t>
      </w:r>
      <w:r w:rsidR="00CE2117">
        <w:t>ere</w:t>
      </w:r>
      <w:r w:rsidR="00E045F6">
        <w:t xml:space="preserve"> unable to attend the meeting.</w:t>
      </w:r>
    </w:p>
    <w:p w14:paraId="16BB6A58" w14:textId="77777777" w:rsidR="00E045F6" w:rsidRDefault="00E045F6" w:rsidP="00CD1280"/>
    <w:p w14:paraId="2EEB7ABA" w14:textId="77777777" w:rsidR="000823DB" w:rsidRPr="000823DB" w:rsidRDefault="000823DB" w:rsidP="00CD1280">
      <w:r>
        <w:t>Karl has been working with the Missouri River Conservation District Council and the Milk River Watershed Alliance to recruit new coordinators.  He is also coordinating the supervisor’s summit and assisting with the feral hog workshop and working with the Valley CD to plan the living without water seminar (to emphasize what it would mean if the St. Mary Diversion system fails).</w:t>
      </w:r>
    </w:p>
    <w:p w14:paraId="1ACFF35C" w14:textId="77777777" w:rsidR="000A54BC" w:rsidRDefault="000A54BC" w:rsidP="00CD1280">
      <w:pPr>
        <w:rPr>
          <w:b/>
        </w:rPr>
      </w:pPr>
    </w:p>
    <w:p w14:paraId="36B7D655" w14:textId="77777777" w:rsidR="000823DB" w:rsidRDefault="000823DB" w:rsidP="00CD1280">
      <w:r>
        <w:t xml:space="preserve">Laurie also stated that Lance Clark had been doing extensive outreach to </w:t>
      </w:r>
      <w:proofErr w:type="gramStart"/>
      <w:r>
        <w:t>all of</w:t>
      </w:r>
      <w:proofErr w:type="gramEnd"/>
      <w:r>
        <w:t xml:space="preserve"> the conservation districts in his area.  </w:t>
      </w:r>
    </w:p>
    <w:p w14:paraId="45A6406A" w14:textId="77777777" w:rsidR="00C1594F" w:rsidRDefault="00C1594F" w:rsidP="00CD1280">
      <w:pPr>
        <w:rPr>
          <w:b/>
        </w:rPr>
      </w:pPr>
    </w:p>
    <w:p w14:paraId="1601EB91" w14:textId="77777777" w:rsidR="00CD1280" w:rsidRDefault="00CD1280" w:rsidP="00CD1280">
      <w:pPr>
        <w:rPr>
          <w:b/>
        </w:rPr>
      </w:pPr>
      <w:r>
        <w:rPr>
          <w:b/>
        </w:rPr>
        <w:t>Old Business</w:t>
      </w:r>
    </w:p>
    <w:p w14:paraId="62B6D0F9" w14:textId="77777777" w:rsidR="00CD1280" w:rsidRDefault="00CD1280" w:rsidP="00CD1280">
      <w:pPr>
        <w:rPr>
          <w:b/>
        </w:rPr>
      </w:pPr>
    </w:p>
    <w:p w14:paraId="1A7BBC3F" w14:textId="77777777" w:rsidR="00CD1280" w:rsidRPr="00E045F6" w:rsidRDefault="00CD1280" w:rsidP="00CD1280">
      <w:pPr>
        <w:rPr>
          <w:b/>
          <w:color w:val="FF0000"/>
        </w:rPr>
      </w:pPr>
      <w:r>
        <w:rPr>
          <w:b/>
        </w:rPr>
        <w:lastRenderedPageBreak/>
        <w:t>Reorganizing Resources to Meet Conservation District Needs—Laurie Zeller</w:t>
      </w:r>
      <w:r w:rsidR="00CE2117">
        <w:rPr>
          <w:b/>
        </w:rPr>
        <w:t>.</w:t>
      </w:r>
      <w:r w:rsidR="00CE2117">
        <w:t xml:space="preserve"> This discussion has been on the table for the last few meetings, but time to fully flesh out the idea is not available due to other agenda items. The RCAC requested Zeller draft a proposal for the RCAC to review at an upcoming meeting.</w:t>
      </w:r>
    </w:p>
    <w:p w14:paraId="17F183EC" w14:textId="77777777" w:rsidR="00617E8B" w:rsidRDefault="00617E8B" w:rsidP="00CD1280">
      <w:pPr>
        <w:rPr>
          <w:b/>
        </w:rPr>
      </w:pPr>
    </w:p>
    <w:p w14:paraId="275EAFB4" w14:textId="77777777" w:rsidR="00CD1280" w:rsidRDefault="00CD1280" w:rsidP="00CD1280">
      <w:pPr>
        <w:rPr>
          <w:b/>
        </w:rPr>
      </w:pPr>
      <w:r>
        <w:rPr>
          <w:b/>
        </w:rPr>
        <w:t>Weather Station Grants Follow-Up—Linda Brander</w:t>
      </w:r>
    </w:p>
    <w:p w14:paraId="7687645A" w14:textId="77777777" w:rsidR="00E045F6" w:rsidRDefault="00E045F6" w:rsidP="00CD1280">
      <w:pPr>
        <w:rPr>
          <w:b/>
        </w:rPr>
      </w:pPr>
    </w:p>
    <w:p w14:paraId="4321DA57" w14:textId="77777777" w:rsidR="00E045F6" w:rsidRPr="00E045F6" w:rsidRDefault="00E045F6" w:rsidP="00CD1280">
      <w:r>
        <w:t>Linda Brander stated she had not obtained all information on the effectiveness of weather stations.  She was waiting on a report from the Dawson County CD and still needed to talk with the Teton CD.</w:t>
      </w:r>
    </w:p>
    <w:p w14:paraId="04C20903" w14:textId="77777777" w:rsidR="00CD1280" w:rsidRDefault="00CD1280" w:rsidP="00CD1280">
      <w:pPr>
        <w:rPr>
          <w:b/>
        </w:rPr>
      </w:pPr>
    </w:p>
    <w:p w14:paraId="22E05D8E" w14:textId="77777777" w:rsidR="00CD1280" w:rsidRDefault="00CD1280" w:rsidP="00CD1280">
      <w:pPr>
        <w:rPr>
          <w:b/>
        </w:rPr>
      </w:pPr>
      <w:r>
        <w:rPr>
          <w:b/>
        </w:rPr>
        <w:t>223 Forms (application questions &amp; ranking form)—do changes still need to be made—Linda Brander</w:t>
      </w:r>
    </w:p>
    <w:p w14:paraId="1471E389" w14:textId="77777777" w:rsidR="00E045F6" w:rsidRDefault="00E045F6" w:rsidP="00CD1280">
      <w:pPr>
        <w:rPr>
          <w:b/>
        </w:rPr>
      </w:pPr>
    </w:p>
    <w:p w14:paraId="7032B52A" w14:textId="77777777" w:rsidR="00E045F6" w:rsidRPr="00E045F6" w:rsidRDefault="00E045F6" w:rsidP="00CD1280">
      <w:r>
        <w:t>A decision was made to keep the existing 223 application and ranking form.  Changes will be made at the start of FY2021 when questions relating to MEPA will be added.</w:t>
      </w:r>
    </w:p>
    <w:p w14:paraId="645D0783" w14:textId="77777777" w:rsidR="00CD1280" w:rsidRDefault="00CD1280" w:rsidP="00CD1280">
      <w:pPr>
        <w:rPr>
          <w:b/>
        </w:rPr>
      </w:pPr>
    </w:p>
    <w:p w14:paraId="5FF62526" w14:textId="77777777" w:rsidR="00CD1280" w:rsidRDefault="00CD1280" w:rsidP="00CD1280">
      <w:pPr>
        <w:rPr>
          <w:b/>
        </w:rPr>
      </w:pPr>
      <w:r>
        <w:rPr>
          <w:b/>
        </w:rPr>
        <w:t>Other</w:t>
      </w:r>
    </w:p>
    <w:p w14:paraId="00FC069D" w14:textId="77777777" w:rsidR="00CD1280" w:rsidRDefault="00CD1280" w:rsidP="00CD1280">
      <w:pPr>
        <w:rPr>
          <w:b/>
        </w:rPr>
      </w:pPr>
    </w:p>
    <w:p w14:paraId="5F966669" w14:textId="77777777" w:rsidR="00CD1280" w:rsidRDefault="00CD1280" w:rsidP="00CD1280">
      <w:pPr>
        <w:rPr>
          <w:b/>
        </w:rPr>
      </w:pPr>
      <w:r>
        <w:rPr>
          <w:b/>
        </w:rPr>
        <w:t>Public Comment</w:t>
      </w:r>
    </w:p>
    <w:p w14:paraId="27E3BEE3" w14:textId="77777777" w:rsidR="00CD1280" w:rsidRDefault="00CD1280" w:rsidP="00CD1280">
      <w:pPr>
        <w:rPr>
          <w:b/>
        </w:rPr>
      </w:pPr>
    </w:p>
    <w:p w14:paraId="671EC941" w14:textId="77777777" w:rsidR="00C70C86" w:rsidRDefault="00C70C86" w:rsidP="00CD1280">
      <w:r>
        <w:t>No public comment was received.</w:t>
      </w:r>
    </w:p>
    <w:p w14:paraId="231BA4B2" w14:textId="77777777" w:rsidR="00C70C86" w:rsidRPr="00C70C86" w:rsidRDefault="00C70C86" w:rsidP="00CD1280"/>
    <w:p w14:paraId="768A1195" w14:textId="77777777" w:rsidR="00CD1280" w:rsidRDefault="00CD1280" w:rsidP="00CD1280">
      <w:pPr>
        <w:rPr>
          <w:b/>
        </w:rPr>
      </w:pPr>
      <w:r>
        <w:rPr>
          <w:b/>
        </w:rPr>
        <w:t>Next Meeting Date &amp; Location—April 22, 2020 is the final 223 dead</w:t>
      </w:r>
      <w:r w:rsidR="00C30C87">
        <w:rPr>
          <w:b/>
        </w:rPr>
        <w:t xml:space="preserve"> </w:t>
      </w:r>
      <w:r>
        <w:rPr>
          <w:b/>
        </w:rPr>
        <w:t>line</w:t>
      </w:r>
    </w:p>
    <w:p w14:paraId="29D187ED" w14:textId="77777777" w:rsidR="00CD1280" w:rsidRDefault="00CD1280" w:rsidP="00CD1280">
      <w:pPr>
        <w:rPr>
          <w:b/>
        </w:rPr>
      </w:pPr>
    </w:p>
    <w:p w14:paraId="6658603E" w14:textId="77777777" w:rsidR="00C70C86" w:rsidRPr="00C70C86" w:rsidRDefault="00C70C86" w:rsidP="00CD1280">
      <w:r w:rsidRPr="00C70C86">
        <w:t xml:space="preserve">The </w:t>
      </w:r>
      <w:r>
        <w:t>next meeting will be held in Helena, MT preferably during the week of May 5, 2020.</w:t>
      </w:r>
    </w:p>
    <w:p w14:paraId="67711FDC" w14:textId="77777777" w:rsidR="00E045F6" w:rsidRDefault="00E045F6" w:rsidP="00CD1280">
      <w:pPr>
        <w:rPr>
          <w:b/>
        </w:rPr>
      </w:pPr>
    </w:p>
    <w:sectPr w:rsidR="00E045F6" w:rsidSect="000D20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371A1A"/>
    <w:multiLevelType w:val="hybridMultilevel"/>
    <w:tmpl w:val="109CA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FB777E"/>
    <w:multiLevelType w:val="hybridMultilevel"/>
    <w:tmpl w:val="FE942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91"/>
    <w:rsid w:val="000376CB"/>
    <w:rsid w:val="00050437"/>
    <w:rsid w:val="000823DB"/>
    <w:rsid w:val="000A54BC"/>
    <w:rsid w:val="000D2091"/>
    <w:rsid w:val="000D4403"/>
    <w:rsid w:val="000E0FD3"/>
    <w:rsid w:val="001E1AAD"/>
    <w:rsid w:val="00221984"/>
    <w:rsid w:val="002E0CE9"/>
    <w:rsid w:val="00331FC9"/>
    <w:rsid w:val="003B5ECF"/>
    <w:rsid w:val="0043693A"/>
    <w:rsid w:val="00446FDB"/>
    <w:rsid w:val="00535C5E"/>
    <w:rsid w:val="005366A5"/>
    <w:rsid w:val="00583D32"/>
    <w:rsid w:val="005D18DF"/>
    <w:rsid w:val="005F054D"/>
    <w:rsid w:val="00617E8B"/>
    <w:rsid w:val="00681F9A"/>
    <w:rsid w:val="006A19F0"/>
    <w:rsid w:val="006D4BFF"/>
    <w:rsid w:val="007158D1"/>
    <w:rsid w:val="007D7D08"/>
    <w:rsid w:val="0080324E"/>
    <w:rsid w:val="00966234"/>
    <w:rsid w:val="00AA2820"/>
    <w:rsid w:val="00C14D43"/>
    <w:rsid w:val="00C1594F"/>
    <w:rsid w:val="00C30C87"/>
    <w:rsid w:val="00C70C86"/>
    <w:rsid w:val="00CD1280"/>
    <w:rsid w:val="00CE2117"/>
    <w:rsid w:val="00CF3FFB"/>
    <w:rsid w:val="00E045F6"/>
    <w:rsid w:val="00E10438"/>
    <w:rsid w:val="00F15120"/>
    <w:rsid w:val="00F47908"/>
    <w:rsid w:val="00FD3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E70C5"/>
  <w15:chartTrackingRefBased/>
  <w15:docId w15:val="{ED19FFC2-C008-42BD-9A98-1B376611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A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421355">
      <w:bodyDiv w:val="1"/>
      <w:marLeft w:val="0"/>
      <w:marRight w:val="0"/>
      <w:marTop w:val="0"/>
      <w:marBottom w:val="0"/>
      <w:divBdr>
        <w:top w:val="none" w:sz="0" w:space="0" w:color="auto"/>
        <w:left w:val="none" w:sz="0" w:space="0" w:color="auto"/>
        <w:bottom w:val="none" w:sz="0" w:space="0" w:color="auto"/>
        <w:right w:val="none" w:sz="0" w:space="0" w:color="auto"/>
      </w:divBdr>
    </w:div>
    <w:div w:id="929508451">
      <w:bodyDiv w:val="1"/>
      <w:marLeft w:val="0"/>
      <w:marRight w:val="0"/>
      <w:marTop w:val="0"/>
      <w:marBottom w:val="0"/>
      <w:divBdr>
        <w:top w:val="none" w:sz="0" w:space="0" w:color="auto"/>
        <w:left w:val="none" w:sz="0" w:space="0" w:color="auto"/>
        <w:bottom w:val="none" w:sz="0" w:space="0" w:color="auto"/>
        <w:right w:val="none" w:sz="0" w:space="0" w:color="auto"/>
      </w:divBdr>
    </w:div>
    <w:div w:id="938297023">
      <w:bodyDiv w:val="1"/>
      <w:marLeft w:val="0"/>
      <w:marRight w:val="0"/>
      <w:marTop w:val="0"/>
      <w:marBottom w:val="0"/>
      <w:divBdr>
        <w:top w:val="none" w:sz="0" w:space="0" w:color="auto"/>
        <w:left w:val="none" w:sz="0" w:space="0" w:color="auto"/>
        <w:bottom w:val="none" w:sz="0" w:space="0" w:color="auto"/>
        <w:right w:val="none" w:sz="0" w:space="0" w:color="auto"/>
      </w:divBdr>
    </w:div>
    <w:div w:id="14232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946</Words>
  <Characters>5394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Brander, Linda</dc:creator>
  <cp:keywords/>
  <dc:description/>
  <cp:lastModifiedBy>Brander, Linda</cp:lastModifiedBy>
  <cp:revision>2</cp:revision>
  <dcterms:created xsi:type="dcterms:W3CDTF">2020-05-07T20:06:00Z</dcterms:created>
  <dcterms:modified xsi:type="dcterms:W3CDTF">2020-05-07T20:06:00Z</dcterms:modified>
</cp:coreProperties>
</file>